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AE4E2" w14:textId="77777777" w:rsidR="0070717B" w:rsidRPr="0070717B" w:rsidRDefault="0070717B" w:rsidP="0070717B">
      <w:pPr>
        <w:pStyle w:val="Normlnweb"/>
        <w:jc w:val="center"/>
        <w:rPr>
          <w:rFonts w:ascii="Century Gothic" w:hAnsi="Century Gothic"/>
          <w:color w:val="000000"/>
          <w:sz w:val="32"/>
          <w:szCs w:val="32"/>
        </w:rPr>
      </w:pPr>
      <w:r w:rsidRPr="0070717B">
        <w:rPr>
          <w:rStyle w:val="Siln"/>
          <w:rFonts w:ascii="Century Gothic" w:hAnsi="Century Gothic"/>
          <w:color w:val="000000"/>
          <w:sz w:val="32"/>
          <w:szCs w:val="32"/>
        </w:rPr>
        <w:t>SMĚRNICE K POSOUZENÍ A IDENTIFIKACI RIZIK LEGALIZACE VÝNOSŮ Z TRESTNÉ ČINNOSTI A FINANCOVÁNÍ TERORISMU (AML ZÁKON)</w:t>
      </w:r>
    </w:p>
    <w:p w14:paraId="093D9B8D" w14:textId="77777777" w:rsidR="0070717B" w:rsidRPr="0070717B" w:rsidRDefault="0070717B" w:rsidP="0070717B">
      <w:pPr>
        <w:pStyle w:val="Normlnweb"/>
        <w:rPr>
          <w:rFonts w:ascii="Century Gothic" w:hAnsi="Century Gothic"/>
          <w:color w:val="000000"/>
        </w:rPr>
      </w:pPr>
      <w:r w:rsidRPr="0070717B">
        <w:rPr>
          <w:rStyle w:val="Siln"/>
          <w:rFonts w:ascii="Century Gothic" w:hAnsi="Century Gothic"/>
          <w:color w:val="000000"/>
        </w:rPr>
        <w:t>Název společnosti:</w:t>
      </w:r>
    </w:p>
    <w:p w14:paraId="34825179" w14:textId="77777777" w:rsidR="0070717B" w:rsidRPr="0070717B" w:rsidRDefault="0070717B" w:rsidP="0070717B">
      <w:pPr>
        <w:pStyle w:val="Normlnweb"/>
        <w:rPr>
          <w:rFonts w:ascii="Century Gothic" w:hAnsi="Century Gothic"/>
          <w:color w:val="000000"/>
        </w:rPr>
      </w:pPr>
      <w:r w:rsidRPr="0070717B">
        <w:rPr>
          <w:rStyle w:val="Siln"/>
          <w:rFonts w:ascii="Century Gothic" w:hAnsi="Century Gothic"/>
          <w:color w:val="000000"/>
        </w:rPr>
        <w:t>Sídlo:</w:t>
      </w:r>
    </w:p>
    <w:p w14:paraId="43FAB23B" w14:textId="77777777" w:rsidR="0070717B" w:rsidRPr="0070717B" w:rsidRDefault="0070717B" w:rsidP="0070717B">
      <w:pPr>
        <w:pStyle w:val="Normlnweb"/>
        <w:rPr>
          <w:rFonts w:ascii="Century Gothic" w:hAnsi="Century Gothic"/>
          <w:color w:val="000000"/>
        </w:rPr>
      </w:pPr>
      <w:r w:rsidRPr="0070717B">
        <w:rPr>
          <w:rStyle w:val="Siln"/>
          <w:rFonts w:ascii="Century Gothic" w:hAnsi="Century Gothic"/>
          <w:color w:val="000000"/>
        </w:rPr>
        <w:t>IČO:</w:t>
      </w:r>
    </w:p>
    <w:p w14:paraId="6EDF3F9C" w14:textId="77777777" w:rsidR="0070717B" w:rsidRPr="0070717B" w:rsidRDefault="0070717B" w:rsidP="0070717B">
      <w:pPr>
        <w:pStyle w:val="Normlnweb"/>
        <w:rPr>
          <w:rFonts w:ascii="Century Gothic" w:hAnsi="Century Gothic"/>
          <w:color w:val="000000"/>
        </w:rPr>
      </w:pPr>
      <w:r w:rsidRPr="0070717B">
        <w:rPr>
          <w:rStyle w:val="Siln"/>
          <w:rFonts w:ascii="Century Gothic" w:hAnsi="Century Gothic"/>
          <w:color w:val="000000"/>
        </w:rPr>
        <w:t>Vyhotovil(a):</w:t>
      </w:r>
    </w:p>
    <w:p w14:paraId="4C2BADA8" w14:textId="6CCC261E" w:rsidR="0070717B" w:rsidRPr="0070717B" w:rsidRDefault="0070717B" w:rsidP="0070717B">
      <w:pPr>
        <w:pStyle w:val="Normlnweb"/>
        <w:rPr>
          <w:rFonts w:ascii="Century Gothic" w:hAnsi="Century Gothic"/>
          <w:color w:val="000000"/>
        </w:rPr>
      </w:pPr>
      <w:r w:rsidRPr="0070717B">
        <w:rPr>
          <w:rStyle w:val="Siln"/>
          <w:rFonts w:ascii="Century Gothic" w:hAnsi="Century Gothic"/>
          <w:color w:val="000000"/>
        </w:rPr>
        <w:t>Dne:</w:t>
      </w:r>
    </w:p>
    <w:p w14:paraId="42B1F41A" w14:textId="77777777" w:rsidR="0070717B" w:rsidRDefault="0070717B" w:rsidP="0070717B">
      <w:r>
        <w:rPr>
          <w:noProof/>
        </w:rPr>
      </w:r>
      <w:r w:rsidR="0070717B">
        <w:rPr>
          <w:noProof/>
        </w:rPr>
        <w:pict w14:anchorId="54923DC7">
          <v:rect id="_x0000_i1025" alt="" style="width:453.6pt;height:.05pt;mso-width-percent:0;mso-height-percent:0;mso-width-percent:0;mso-height-percent:0" o:hralign="center" o:hrstd="t" o:hr="t" fillcolor="#a0a0a0" stroked="f"/>
        </w:pict>
      </w:r>
    </w:p>
    <w:p w14:paraId="3FEE5CC4" w14:textId="2ADD53E0" w:rsidR="0070717B" w:rsidRDefault="0070717B" w:rsidP="0070717B">
      <w:pPr>
        <w:pStyle w:val="Nadpis1"/>
      </w:pPr>
      <w:r>
        <w:rPr>
          <w:rStyle w:val="Siln"/>
          <w:b/>
          <w:bCs w:val="0"/>
          <w:color w:val="000000"/>
        </w:rPr>
        <w:t>Základní údaje</w:t>
      </w:r>
    </w:p>
    <w:p w14:paraId="3669A472" w14:textId="77777777" w:rsidR="0070717B" w:rsidRDefault="0070717B" w:rsidP="0070717B">
      <w:r>
        <w:rPr>
          <w:rStyle w:val="Siln"/>
          <w:color w:val="000000"/>
        </w:rPr>
        <w:t>Kontaktní osoba ve smyslu § 22 AML:</w:t>
      </w:r>
    </w:p>
    <w:p w14:paraId="0DD669B5" w14:textId="77777777" w:rsidR="0070717B" w:rsidRDefault="0070717B" w:rsidP="0070717B">
      <w:pPr>
        <w:numPr>
          <w:ilvl w:val="0"/>
          <w:numId w:val="15"/>
        </w:numPr>
        <w:spacing w:before="100" w:beforeAutospacing="1" w:after="100" w:afterAutospacing="1" w:line="240" w:lineRule="auto"/>
        <w:rPr>
          <w:color w:val="000000"/>
        </w:rPr>
      </w:pPr>
      <w:r>
        <w:rPr>
          <w:color w:val="000000"/>
        </w:rPr>
        <w:t>Jméno a příjmení:</w:t>
      </w:r>
    </w:p>
    <w:p w14:paraId="75A1F262" w14:textId="77777777" w:rsidR="0070717B" w:rsidRDefault="0070717B" w:rsidP="0070717B">
      <w:pPr>
        <w:numPr>
          <w:ilvl w:val="0"/>
          <w:numId w:val="15"/>
        </w:numPr>
        <w:spacing w:before="100" w:beforeAutospacing="1" w:after="100" w:afterAutospacing="1" w:line="240" w:lineRule="auto"/>
        <w:rPr>
          <w:color w:val="000000"/>
        </w:rPr>
      </w:pPr>
      <w:r>
        <w:rPr>
          <w:color w:val="000000"/>
        </w:rPr>
        <w:t>Telefon:</w:t>
      </w:r>
    </w:p>
    <w:p w14:paraId="60DC8B31" w14:textId="77777777" w:rsidR="0070717B" w:rsidRDefault="0070717B" w:rsidP="0070717B">
      <w:pPr>
        <w:numPr>
          <w:ilvl w:val="0"/>
          <w:numId w:val="15"/>
        </w:numPr>
        <w:spacing w:before="100" w:beforeAutospacing="1" w:after="100" w:afterAutospacing="1" w:line="240" w:lineRule="auto"/>
        <w:rPr>
          <w:color w:val="000000"/>
        </w:rPr>
      </w:pPr>
      <w:r>
        <w:rPr>
          <w:color w:val="000000"/>
        </w:rPr>
        <w:t>Email:</w:t>
      </w:r>
    </w:p>
    <w:p w14:paraId="07D4BEBB" w14:textId="77777777" w:rsidR="0070717B" w:rsidRDefault="0070717B" w:rsidP="0070717B">
      <w:pPr>
        <w:numPr>
          <w:ilvl w:val="0"/>
          <w:numId w:val="15"/>
        </w:numPr>
        <w:spacing w:before="100" w:beforeAutospacing="1" w:after="100" w:afterAutospacing="1" w:line="240" w:lineRule="auto"/>
        <w:rPr>
          <w:color w:val="000000"/>
        </w:rPr>
      </w:pPr>
      <w:r>
        <w:rPr>
          <w:color w:val="000000"/>
        </w:rPr>
        <w:t>Postavení vůči povinné osobě:</w:t>
      </w:r>
    </w:p>
    <w:p w14:paraId="07A5BCF1" w14:textId="77777777" w:rsidR="0070717B" w:rsidRDefault="0070717B" w:rsidP="0070717B">
      <w:r>
        <w:rPr>
          <w:rStyle w:val="Siln"/>
          <w:color w:val="000000"/>
        </w:rPr>
        <w:t>Pověřená osoba ve smyslu § 22a AML:</w:t>
      </w:r>
    </w:p>
    <w:p w14:paraId="7C4E1515" w14:textId="77777777" w:rsidR="0070717B" w:rsidRDefault="0070717B" w:rsidP="0070717B">
      <w:pPr>
        <w:numPr>
          <w:ilvl w:val="0"/>
          <w:numId w:val="16"/>
        </w:numPr>
        <w:spacing w:before="100" w:beforeAutospacing="1" w:after="100" w:afterAutospacing="1" w:line="240" w:lineRule="auto"/>
        <w:rPr>
          <w:color w:val="000000"/>
        </w:rPr>
      </w:pPr>
      <w:r>
        <w:rPr>
          <w:color w:val="000000"/>
        </w:rPr>
        <w:t>Jméno a příjmení:</w:t>
      </w:r>
    </w:p>
    <w:p w14:paraId="5A8BB4EC" w14:textId="77777777" w:rsidR="0070717B" w:rsidRDefault="0070717B" w:rsidP="0070717B">
      <w:pPr>
        <w:numPr>
          <w:ilvl w:val="0"/>
          <w:numId w:val="16"/>
        </w:numPr>
        <w:spacing w:before="100" w:beforeAutospacing="1" w:after="100" w:afterAutospacing="1" w:line="240" w:lineRule="auto"/>
        <w:rPr>
          <w:color w:val="000000"/>
        </w:rPr>
      </w:pPr>
      <w:r>
        <w:rPr>
          <w:color w:val="000000"/>
        </w:rPr>
        <w:t>Telefon:</w:t>
      </w:r>
    </w:p>
    <w:p w14:paraId="3CA8A9F6" w14:textId="77777777" w:rsidR="0070717B" w:rsidRDefault="0070717B" w:rsidP="0070717B">
      <w:pPr>
        <w:numPr>
          <w:ilvl w:val="0"/>
          <w:numId w:val="16"/>
        </w:numPr>
        <w:spacing w:before="100" w:beforeAutospacing="1" w:after="100" w:afterAutospacing="1" w:line="240" w:lineRule="auto"/>
        <w:rPr>
          <w:color w:val="000000"/>
        </w:rPr>
      </w:pPr>
      <w:r>
        <w:rPr>
          <w:color w:val="000000"/>
        </w:rPr>
        <w:t>Email:</w:t>
      </w:r>
    </w:p>
    <w:p w14:paraId="178EA54D" w14:textId="1B013E7C" w:rsidR="0070717B" w:rsidRPr="0070717B" w:rsidRDefault="0070717B" w:rsidP="0070717B">
      <w:pPr>
        <w:numPr>
          <w:ilvl w:val="0"/>
          <w:numId w:val="16"/>
        </w:numPr>
        <w:spacing w:before="100" w:beforeAutospacing="1" w:after="100" w:afterAutospacing="1" w:line="240" w:lineRule="auto"/>
        <w:rPr>
          <w:color w:val="000000"/>
        </w:rPr>
      </w:pPr>
      <w:r>
        <w:rPr>
          <w:color w:val="000000"/>
        </w:rPr>
        <w:t>Postavení vůči povinné osobě:</w:t>
      </w:r>
    </w:p>
    <w:p w14:paraId="56684467" w14:textId="293A0B4B" w:rsidR="0070717B" w:rsidRDefault="0070717B" w:rsidP="0070717B">
      <w:pPr>
        <w:pStyle w:val="Nadpis1"/>
      </w:pPr>
      <w:r>
        <w:rPr>
          <w:rStyle w:val="Siln"/>
          <w:b/>
          <w:bCs w:val="0"/>
          <w:color w:val="000000"/>
        </w:rPr>
        <w:t>Rizikovost klienta</w:t>
      </w:r>
    </w:p>
    <w:p w14:paraId="7914FD8E" w14:textId="77777777" w:rsidR="0070717B" w:rsidRDefault="0070717B" w:rsidP="0070717B">
      <w:pPr>
        <w:pStyle w:val="Normlnweb"/>
        <w:rPr>
          <w:color w:val="000000"/>
        </w:rPr>
      </w:pPr>
      <w:r>
        <w:rPr>
          <w:color w:val="000000"/>
        </w:rPr>
        <w:t>Osoba odpovědná za uzavření obchodního vztahu nebo uskutečnění obchodu v souladu s AML směrnicí provede vyhodnocení rizikovosti klienta. Toto vyhodnocení je nutné provést nejpozději při první identifikaci klienta, která se uskuteční před započetím jakékoliv práce nebo obchodního vztahu.</w:t>
      </w:r>
    </w:p>
    <w:p w14:paraId="35501E22" w14:textId="77777777" w:rsidR="0070717B" w:rsidRDefault="0070717B" w:rsidP="0070717B">
      <w:pPr>
        <w:pStyle w:val="Normlnweb"/>
        <w:rPr>
          <w:color w:val="000000"/>
        </w:rPr>
      </w:pPr>
      <w:r>
        <w:rPr>
          <w:rStyle w:val="Siln"/>
          <w:color w:val="000000"/>
        </w:rPr>
        <w:t>Kategorie rizik:</w:t>
      </w:r>
    </w:p>
    <w:p w14:paraId="5DA0C741" w14:textId="77777777" w:rsidR="0070717B" w:rsidRDefault="0070717B" w:rsidP="0070717B">
      <w:pPr>
        <w:numPr>
          <w:ilvl w:val="0"/>
          <w:numId w:val="17"/>
        </w:numPr>
        <w:spacing w:before="100" w:beforeAutospacing="1" w:after="100" w:afterAutospacing="1" w:line="240" w:lineRule="auto"/>
        <w:rPr>
          <w:color w:val="000000"/>
        </w:rPr>
      </w:pPr>
      <w:r>
        <w:rPr>
          <w:rStyle w:val="Siln"/>
          <w:color w:val="000000"/>
        </w:rPr>
        <w:t>A – snížené riziko</w:t>
      </w:r>
    </w:p>
    <w:p w14:paraId="7C08FEB2" w14:textId="15C2A6B5" w:rsidR="0070717B" w:rsidRDefault="0070717B" w:rsidP="0070717B">
      <w:pPr>
        <w:numPr>
          <w:ilvl w:val="0"/>
          <w:numId w:val="17"/>
        </w:numPr>
        <w:spacing w:before="100" w:beforeAutospacing="1" w:after="100" w:afterAutospacing="1" w:line="240" w:lineRule="auto"/>
        <w:rPr>
          <w:color w:val="000000"/>
        </w:rPr>
      </w:pPr>
      <w:r>
        <w:rPr>
          <w:rStyle w:val="Siln"/>
          <w:color w:val="000000"/>
        </w:rPr>
        <w:t>B – střední riziko</w:t>
      </w:r>
      <w:r>
        <w:rPr>
          <w:rStyle w:val="apple-converted-space"/>
          <w:color w:val="000000"/>
        </w:rPr>
        <w:t> </w:t>
      </w:r>
      <w:r>
        <w:rPr>
          <w:color w:val="000000"/>
        </w:rPr>
        <w:t>(pro ostatní klienty, kteří nepatří do kategorií A nebo C)</w:t>
      </w:r>
    </w:p>
    <w:p w14:paraId="001FFD10" w14:textId="77777777" w:rsidR="0070717B" w:rsidRDefault="0070717B" w:rsidP="0070717B">
      <w:pPr>
        <w:numPr>
          <w:ilvl w:val="0"/>
          <w:numId w:val="17"/>
        </w:numPr>
        <w:spacing w:before="100" w:beforeAutospacing="1" w:after="100" w:afterAutospacing="1" w:line="240" w:lineRule="auto"/>
        <w:rPr>
          <w:color w:val="000000"/>
        </w:rPr>
      </w:pPr>
      <w:r>
        <w:rPr>
          <w:rStyle w:val="Siln"/>
          <w:color w:val="000000"/>
        </w:rPr>
        <w:t>C – zvýšené riziko</w:t>
      </w:r>
    </w:p>
    <w:p w14:paraId="663BEECE" w14:textId="519B588A" w:rsidR="0070717B" w:rsidRDefault="0070717B" w:rsidP="0070717B">
      <w:pPr>
        <w:pStyle w:val="Nadpis2"/>
      </w:pPr>
      <w:r>
        <w:rPr>
          <w:rStyle w:val="Siln"/>
          <w:b/>
          <w:bCs w:val="0"/>
          <w:color w:val="000000"/>
        </w:rPr>
        <w:t>Rizikové faktory klienta:</w:t>
      </w:r>
    </w:p>
    <w:p w14:paraId="2445442F" w14:textId="77777777" w:rsidR="0070717B" w:rsidRDefault="0070717B" w:rsidP="0070717B">
      <w:pPr>
        <w:numPr>
          <w:ilvl w:val="0"/>
          <w:numId w:val="18"/>
        </w:numPr>
        <w:spacing w:before="100" w:beforeAutospacing="1" w:after="100" w:afterAutospacing="1" w:line="240" w:lineRule="auto"/>
        <w:rPr>
          <w:color w:val="000000"/>
        </w:rPr>
      </w:pPr>
      <w:r>
        <w:rPr>
          <w:color w:val="000000"/>
        </w:rPr>
        <w:t>Obchodní vztah je realizován za neobvyklých okolností.</w:t>
      </w:r>
    </w:p>
    <w:p w14:paraId="10557DCB" w14:textId="77777777" w:rsidR="0070717B" w:rsidRDefault="0070717B" w:rsidP="0070717B">
      <w:pPr>
        <w:numPr>
          <w:ilvl w:val="0"/>
          <w:numId w:val="18"/>
        </w:numPr>
        <w:spacing w:before="100" w:beforeAutospacing="1" w:after="100" w:afterAutospacing="1" w:line="240" w:lineRule="auto"/>
        <w:rPr>
          <w:color w:val="000000"/>
        </w:rPr>
      </w:pPr>
      <w:r>
        <w:rPr>
          <w:color w:val="000000"/>
        </w:rPr>
        <w:lastRenderedPageBreak/>
        <w:t>Země původu klienta se nachází v oblasti s vyšším rizikem.</w:t>
      </w:r>
    </w:p>
    <w:p w14:paraId="3AC7897F" w14:textId="77777777" w:rsidR="0070717B" w:rsidRDefault="0070717B" w:rsidP="0070717B">
      <w:pPr>
        <w:numPr>
          <w:ilvl w:val="0"/>
          <w:numId w:val="18"/>
        </w:numPr>
        <w:spacing w:before="100" w:beforeAutospacing="1" w:after="100" w:afterAutospacing="1" w:line="240" w:lineRule="auto"/>
        <w:rPr>
          <w:color w:val="000000"/>
        </w:rPr>
      </w:pPr>
      <w:r>
        <w:rPr>
          <w:color w:val="000000"/>
        </w:rPr>
        <w:t>Právnická osoba nebo svěřenský fond slouží jako nástroj pro držbu aktiv.</w:t>
      </w:r>
    </w:p>
    <w:p w14:paraId="13F2A22F" w14:textId="77777777" w:rsidR="0070717B" w:rsidRDefault="0070717B" w:rsidP="0070717B">
      <w:pPr>
        <w:numPr>
          <w:ilvl w:val="0"/>
          <w:numId w:val="18"/>
        </w:numPr>
        <w:spacing w:before="100" w:beforeAutospacing="1" w:after="100" w:afterAutospacing="1" w:line="240" w:lineRule="auto"/>
        <w:rPr>
          <w:color w:val="000000"/>
        </w:rPr>
      </w:pPr>
      <w:r>
        <w:rPr>
          <w:color w:val="000000"/>
        </w:rPr>
        <w:t>Klient je obchodní korporací, ve které mohou působit pověření akcionáři nebo společníci, nebo která vydává akcie na doručitele.</w:t>
      </w:r>
    </w:p>
    <w:p w14:paraId="5E449EC4" w14:textId="77777777" w:rsidR="0070717B" w:rsidRDefault="0070717B" w:rsidP="0070717B">
      <w:pPr>
        <w:numPr>
          <w:ilvl w:val="0"/>
          <w:numId w:val="18"/>
        </w:numPr>
        <w:spacing w:before="100" w:beforeAutospacing="1" w:after="100" w:afterAutospacing="1" w:line="240" w:lineRule="auto"/>
        <w:rPr>
          <w:color w:val="000000"/>
        </w:rPr>
      </w:pPr>
      <w:r>
        <w:rPr>
          <w:color w:val="000000"/>
        </w:rPr>
        <w:t>Klient při podnikání ve velkém rozsahu využívá hotovost.</w:t>
      </w:r>
    </w:p>
    <w:p w14:paraId="098BC02A" w14:textId="77777777" w:rsidR="0070717B" w:rsidRDefault="0070717B" w:rsidP="0070717B">
      <w:pPr>
        <w:numPr>
          <w:ilvl w:val="0"/>
          <w:numId w:val="18"/>
        </w:numPr>
        <w:spacing w:before="100" w:beforeAutospacing="1" w:after="100" w:afterAutospacing="1" w:line="240" w:lineRule="auto"/>
        <w:rPr>
          <w:color w:val="000000"/>
        </w:rPr>
      </w:pPr>
      <w:r>
        <w:rPr>
          <w:color w:val="000000"/>
        </w:rPr>
        <w:t>Vlastnická struktura klienta je neobvyklá nebo složitá vzhledem k povaze jeho podnikatelské činnosti.</w:t>
      </w:r>
    </w:p>
    <w:p w14:paraId="5157C181" w14:textId="77777777" w:rsidR="0070717B" w:rsidRDefault="0070717B" w:rsidP="0070717B">
      <w:pPr>
        <w:numPr>
          <w:ilvl w:val="0"/>
          <w:numId w:val="18"/>
        </w:numPr>
        <w:spacing w:before="100" w:beforeAutospacing="1" w:after="100" w:afterAutospacing="1" w:line="240" w:lineRule="auto"/>
        <w:rPr>
          <w:color w:val="000000"/>
        </w:rPr>
      </w:pPr>
      <w:r>
        <w:rPr>
          <w:color w:val="000000"/>
        </w:rPr>
        <w:t>Klient je oprávněný ze životního pojištění.</w:t>
      </w:r>
    </w:p>
    <w:p w14:paraId="2EA75F2F" w14:textId="77777777" w:rsidR="0070717B" w:rsidRDefault="0070717B" w:rsidP="0070717B">
      <w:pPr>
        <w:numPr>
          <w:ilvl w:val="0"/>
          <w:numId w:val="18"/>
        </w:numPr>
        <w:spacing w:before="100" w:beforeAutospacing="1" w:after="100" w:afterAutospacing="1" w:line="240" w:lineRule="auto"/>
        <w:rPr>
          <w:color w:val="000000"/>
        </w:rPr>
      </w:pPr>
      <w:r>
        <w:rPr>
          <w:color w:val="000000"/>
        </w:rPr>
        <w:t>Předmět činnosti klienta je spojen s vyšším rizikem.</w:t>
      </w:r>
    </w:p>
    <w:p w14:paraId="65FB6870" w14:textId="77777777" w:rsidR="0070717B" w:rsidRDefault="0070717B" w:rsidP="0070717B">
      <w:pPr>
        <w:numPr>
          <w:ilvl w:val="0"/>
          <w:numId w:val="18"/>
        </w:numPr>
        <w:spacing w:before="100" w:beforeAutospacing="1" w:after="100" w:afterAutospacing="1" w:line="240" w:lineRule="auto"/>
        <w:rPr>
          <w:color w:val="000000"/>
        </w:rPr>
      </w:pPr>
      <w:r>
        <w:rPr>
          <w:color w:val="000000"/>
        </w:rPr>
        <w:t>Klient, jednající osoba, nebo osoba s rozhodovací pravomocí je politicky exponovanou osobou (PEP).</w:t>
      </w:r>
    </w:p>
    <w:p w14:paraId="78E26CC5" w14:textId="70877BF5" w:rsidR="0070717B" w:rsidRDefault="0070717B" w:rsidP="0070717B">
      <w:pPr>
        <w:pStyle w:val="Nadpis2"/>
      </w:pPr>
      <w:r>
        <w:rPr>
          <w:rStyle w:val="Siln"/>
          <w:b/>
          <w:bCs w:val="0"/>
          <w:color w:val="000000"/>
        </w:rPr>
        <w:t>Faktory týkající se produktů, služeb, transakcí nebo distribučních kanálů:</w:t>
      </w:r>
    </w:p>
    <w:p w14:paraId="2173CAD6" w14:textId="77777777" w:rsidR="0070717B" w:rsidRDefault="0070717B" w:rsidP="0070717B">
      <w:pPr>
        <w:numPr>
          <w:ilvl w:val="0"/>
          <w:numId w:val="19"/>
        </w:numPr>
        <w:spacing w:before="100" w:beforeAutospacing="1" w:after="100" w:afterAutospacing="1" w:line="240" w:lineRule="auto"/>
        <w:rPr>
          <w:color w:val="000000"/>
        </w:rPr>
      </w:pPr>
      <w:r>
        <w:rPr>
          <w:color w:val="000000"/>
        </w:rPr>
        <w:t>Vyhledávání služeb privátního bankovnictví.</w:t>
      </w:r>
    </w:p>
    <w:p w14:paraId="72394496" w14:textId="77777777" w:rsidR="0070717B" w:rsidRDefault="0070717B" w:rsidP="0070717B">
      <w:pPr>
        <w:numPr>
          <w:ilvl w:val="0"/>
          <w:numId w:val="19"/>
        </w:numPr>
        <w:spacing w:before="100" w:beforeAutospacing="1" w:after="100" w:afterAutospacing="1" w:line="240" w:lineRule="auto"/>
        <w:rPr>
          <w:color w:val="000000"/>
        </w:rPr>
      </w:pPr>
      <w:r>
        <w:rPr>
          <w:color w:val="000000"/>
        </w:rPr>
        <w:t>Používání produktů nebo transakcí, které podporují anonymitu.</w:t>
      </w:r>
    </w:p>
    <w:p w14:paraId="1A092E53" w14:textId="77777777" w:rsidR="0070717B" w:rsidRDefault="0070717B" w:rsidP="0070717B">
      <w:pPr>
        <w:numPr>
          <w:ilvl w:val="0"/>
          <w:numId w:val="19"/>
        </w:numPr>
        <w:spacing w:before="100" w:beforeAutospacing="1" w:after="100" w:afterAutospacing="1" w:line="240" w:lineRule="auto"/>
        <w:rPr>
          <w:color w:val="000000"/>
        </w:rPr>
      </w:pPr>
      <w:r>
        <w:rPr>
          <w:color w:val="000000"/>
        </w:rPr>
        <w:t>Obchodní vztahy nebo transakce bez osobní přítomnosti klienta a bez bezpečnostních opatření (např. elektronické podpisy).</w:t>
      </w:r>
    </w:p>
    <w:p w14:paraId="6D42D4FB" w14:textId="77777777" w:rsidR="0070717B" w:rsidRDefault="0070717B" w:rsidP="0070717B">
      <w:pPr>
        <w:numPr>
          <w:ilvl w:val="0"/>
          <w:numId w:val="19"/>
        </w:numPr>
        <w:spacing w:before="100" w:beforeAutospacing="1" w:after="100" w:afterAutospacing="1" w:line="240" w:lineRule="auto"/>
        <w:rPr>
          <w:color w:val="000000"/>
        </w:rPr>
      </w:pPr>
      <w:r>
        <w:rPr>
          <w:color w:val="000000"/>
        </w:rPr>
        <w:t>Příchozí platby od neznámých nebo nespřízněných třetích osob.</w:t>
      </w:r>
    </w:p>
    <w:p w14:paraId="37F18F2E" w14:textId="77777777" w:rsidR="0070717B" w:rsidRDefault="0070717B" w:rsidP="0070717B">
      <w:pPr>
        <w:numPr>
          <w:ilvl w:val="0"/>
          <w:numId w:val="19"/>
        </w:numPr>
        <w:spacing w:before="100" w:beforeAutospacing="1" w:after="100" w:afterAutospacing="1" w:line="240" w:lineRule="auto"/>
        <w:rPr>
          <w:color w:val="000000"/>
        </w:rPr>
      </w:pPr>
      <w:r>
        <w:rPr>
          <w:color w:val="000000"/>
        </w:rPr>
        <w:t>Nové produkty, obchodní postupy, distribuční systémy nebo technologie spojené s novými nebo existujícími produkty.</w:t>
      </w:r>
    </w:p>
    <w:p w14:paraId="490EA410" w14:textId="154527AE" w:rsidR="0070717B" w:rsidRDefault="0070717B" w:rsidP="0070717B">
      <w:pPr>
        <w:pStyle w:val="Nadpis2"/>
      </w:pPr>
      <w:r>
        <w:rPr>
          <w:rStyle w:val="Siln"/>
          <w:b/>
          <w:bCs w:val="0"/>
          <w:color w:val="000000"/>
        </w:rPr>
        <w:t>Faktory zeměpisného rizika:</w:t>
      </w:r>
    </w:p>
    <w:p w14:paraId="51B8D72C" w14:textId="77777777" w:rsidR="0070717B" w:rsidRDefault="0070717B" w:rsidP="0070717B">
      <w:pPr>
        <w:numPr>
          <w:ilvl w:val="0"/>
          <w:numId w:val="20"/>
        </w:numPr>
        <w:spacing w:before="100" w:beforeAutospacing="1" w:after="100" w:afterAutospacing="1" w:line="240" w:lineRule="auto"/>
        <w:rPr>
          <w:color w:val="000000"/>
        </w:rPr>
      </w:pPr>
      <w:r>
        <w:rPr>
          <w:color w:val="000000"/>
        </w:rPr>
        <w:t>Země, které byly orgány EU nebo mezinárodními institucemi označeny za státy s neefektivními systémy proti praní peněz a financování terorismu.</w:t>
      </w:r>
    </w:p>
    <w:p w14:paraId="3B239943" w14:textId="77777777" w:rsidR="0070717B" w:rsidRDefault="0070717B" w:rsidP="0070717B">
      <w:pPr>
        <w:numPr>
          <w:ilvl w:val="0"/>
          <w:numId w:val="20"/>
        </w:numPr>
        <w:spacing w:before="100" w:beforeAutospacing="1" w:after="100" w:afterAutospacing="1" w:line="240" w:lineRule="auto"/>
        <w:rPr>
          <w:color w:val="000000"/>
        </w:rPr>
      </w:pPr>
      <w:r>
        <w:rPr>
          <w:color w:val="000000"/>
        </w:rPr>
        <w:t>Země s vysokou úrovní korupce nebo jinými trestnými činy.</w:t>
      </w:r>
    </w:p>
    <w:p w14:paraId="5FBB76DB" w14:textId="77777777" w:rsidR="0070717B" w:rsidRDefault="0070717B" w:rsidP="0070717B">
      <w:pPr>
        <w:numPr>
          <w:ilvl w:val="0"/>
          <w:numId w:val="20"/>
        </w:numPr>
        <w:spacing w:before="100" w:beforeAutospacing="1" w:after="100" w:afterAutospacing="1" w:line="240" w:lineRule="auto"/>
        <w:rPr>
          <w:color w:val="000000"/>
        </w:rPr>
      </w:pPr>
      <w:r>
        <w:rPr>
          <w:color w:val="000000"/>
        </w:rPr>
        <w:t>Země, na které byly uvaleny sankce, embarga nebo jiná omezující opatření (EU, OSN).</w:t>
      </w:r>
    </w:p>
    <w:p w14:paraId="35CB8F65" w14:textId="77777777" w:rsidR="0070717B" w:rsidRDefault="0070717B" w:rsidP="0070717B">
      <w:pPr>
        <w:numPr>
          <w:ilvl w:val="0"/>
          <w:numId w:val="20"/>
        </w:numPr>
        <w:spacing w:before="100" w:beforeAutospacing="1" w:after="100" w:afterAutospacing="1" w:line="240" w:lineRule="auto"/>
        <w:rPr>
          <w:color w:val="000000"/>
        </w:rPr>
      </w:pPr>
      <w:r>
        <w:rPr>
          <w:color w:val="000000"/>
        </w:rPr>
        <w:t>Země poskytující podporu pro teroristickou činnost nebo v nich působící identifikované teroristické organizace.</w:t>
      </w:r>
    </w:p>
    <w:p w14:paraId="5D48D561" w14:textId="77777777" w:rsidR="0070717B" w:rsidRDefault="0070717B" w:rsidP="0070717B">
      <w:r>
        <w:rPr>
          <w:rStyle w:val="Siln"/>
          <w:color w:val="000000"/>
        </w:rPr>
        <w:t>A – snížené riziko</w:t>
      </w:r>
      <w:r>
        <w:br/>
        <w:t>Tato kategorie neobsahuje žádné faktory z rizikové kategorie C a zároveň splňuje následující:</w:t>
      </w:r>
    </w:p>
    <w:p w14:paraId="4E2ED336" w14:textId="435CD6CB" w:rsidR="0070717B" w:rsidRDefault="0070717B" w:rsidP="0070717B">
      <w:pPr>
        <w:pStyle w:val="Nadpis2"/>
      </w:pPr>
      <w:r>
        <w:rPr>
          <w:rStyle w:val="Siln"/>
          <w:b/>
          <w:bCs w:val="0"/>
          <w:color w:val="000000"/>
        </w:rPr>
        <w:t>Rizikové faktory klienta pro snížené riziko:</w:t>
      </w:r>
    </w:p>
    <w:p w14:paraId="7569AAD0" w14:textId="77777777" w:rsidR="0070717B" w:rsidRDefault="0070717B" w:rsidP="0070717B">
      <w:pPr>
        <w:numPr>
          <w:ilvl w:val="0"/>
          <w:numId w:val="21"/>
        </w:numPr>
        <w:spacing w:before="100" w:beforeAutospacing="1" w:after="100" w:afterAutospacing="1" w:line="240" w:lineRule="auto"/>
        <w:rPr>
          <w:color w:val="000000"/>
        </w:rPr>
      </w:pPr>
      <w:r>
        <w:rPr>
          <w:color w:val="000000"/>
        </w:rPr>
        <w:t>Nejedná se o zahraničního klienta nebo zahraniční účast.</w:t>
      </w:r>
    </w:p>
    <w:p w14:paraId="71CAD27D" w14:textId="77777777" w:rsidR="0070717B" w:rsidRDefault="0070717B" w:rsidP="0070717B">
      <w:pPr>
        <w:numPr>
          <w:ilvl w:val="0"/>
          <w:numId w:val="21"/>
        </w:numPr>
        <w:spacing w:before="100" w:beforeAutospacing="1" w:after="100" w:afterAutospacing="1" w:line="240" w:lineRule="auto"/>
        <w:rPr>
          <w:color w:val="000000"/>
        </w:rPr>
      </w:pPr>
      <w:r>
        <w:rPr>
          <w:color w:val="000000"/>
        </w:rPr>
        <w:t>Klient má jasnou a jednoduchou vlastnickou strukturu.</w:t>
      </w:r>
    </w:p>
    <w:p w14:paraId="0CF9F907" w14:textId="77777777" w:rsidR="0070717B" w:rsidRDefault="0070717B" w:rsidP="0070717B">
      <w:pPr>
        <w:numPr>
          <w:ilvl w:val="0"/>
          <w:numId w:val="21"/>
        </w:numPr>
        <w:spacing w:before="100" w:beforeAutospacing="1" w:after="100" w:afterAutospacing="1" w:line="240" w:lineRule="auto"/>
        <w:rPr>
          <w:color w:val="000000"/>
        </w:rPr>
      </w:pPr>
      <w:r>
        <w:rPr>
          <w:color w:val="000000"/>
        </w:rPr>
        <w:t>U klienta historicky nedocházelo k častým změnám v řízení a rozhodovacích orgánech.</w:t>
      </w:r>
    </w:p>
    <w:p w14:paraId="6CD33F82" w14:textId="36E22512" w:rsidR="0070717B" w:rsidRDefault="0070717B" w:rsidP="0070717B">
      <w:pPr>
        <w:pStyle w:val="Nadpis2"/>
      </w:pPr>
      <w:r>
        <w:rPr>
          <w:rStyle w:val="Siln"/>
          <w:b/>
          <w:bCs w:val="0"/>
          <w:color w:val="000000"/>
        </w:rPr>
        <w:t>Faktory týkající se produktů, služeb, transakcí nebo distribučních kanálů pro snížené riziko:</w:t>
      </w:r>
    </w:p>
    <w:p w14:paraId="7F384061" w14:textId="77777777" w:rsidR="0070717B" w:rsidRDefault="0070717B" w:rsidP="0070717B">
      <w:pPr>
        <w:numPr>
          <w:ilvl w:val="0"/>
          <w:numId w:val="22"/>
        </w:numPr>
        <w:spacing w:before="100" w:beforeAutospacing="1" w:after="100" w:afterAutospacing="1" w:line="240" w:lineRule="auto"/>
        <w:rPr>
          <w:color w:val="000000"/>
        </w:rPr>
      </w:pPr>
      <w:r>
        <w:rPr>
          <w:color w:val="000000"/>
        </w:rPr>
        <w:t>Zpracování přiznání k dani z nemovitých věcí nebo silniční dani.</w:t>
      </w:r>
    </w:p>
    <w:p w14:paraId="2C0AC77E" w14:textId="77777777" w:rsidR="0070717B" w:rsidRDefault="0070717B" w:rsidP="0070717B">
      <w:pPr>
        <w:numPr>
          <w:ilvl w:val="0"/>
          <w:numId w:val="22"/>
        </w:numPr>
        <w:spacing w:before="100" w:beforeAutospacing="1" w:after="100" w:afterAutospacing="1" w:line="240" w:lineRule="auto"/>
        <w:rPr>
          <w:color w:val="000000"/>
        </w:rPr>
      </w:pPr>
      <w:r>
        <w:rPr>
          <w:color w:val="000000"/>
        </w:rPr>
        <w:t>Zpracování daňového přiznání k dani z příjmů fyzických osob, kde příjmy plynou převážně ze závislé činnosti.</w:t>
      </w:r>
    </w:p>
    <w:p w14:paraId="2E304250" w14:textId="26B7CD0A" w:rsidR="0070717B" w:rsidRPr="0070717B" w:rsidRDefault="0070717B" w:rsidP="0070717B">
      <w:pPr>
        <w:numPr>
          <w:ilvl w:val="0"/>
          <w:numId w:val="22"/>
        </w:numPr>
        <w:spacing w:before="100" w:beforeAutospacing="1" w:after="100" w:afterAutospacing="1" w:line="240" w:lineRule="auto"/>
        <w:rPr>
          <w:color w:val="000000"/>
        </w:rPr>
      </w:pPr>
      <w:r>
        <w:rPr>
          <w:color w:val="000000"/>
        </w:rPr>
        <w:t>Vedení účetnictví a sestavování účetní závěrky pro společnost, která neprovádí činnosti.</w:t>
      </w:r>
    </w:p>
    <w:p w14:paraId="0C6CB76E" w14:textId="5BF1620A" w:rsidR="0070717B" w:rsidRDefault="0070717B" w:rsidP="0070717B">
      <w:pPr>
        <w:pStyle w:val="Nadpis1"/>
      </w:pPr>
      <w:r>
        <w:rPr>
          <w:rStyle w:val="Siln"/>
          <w:b/>
          <w:bCs w:val="0"/>
          <w:color w:val="000000"/>
        </w:rPr>
        <w:lastRenderedPageBreak/>
        <w:t>Identifikace klienta</w:t>
      </w:r>
    </w:p>
    <w:p w14:paraId="41C5AB90" w14:textId="77777777" w:rsidR="0070717B" w:rsidRDefault="0070717B" w:rsidP="0070717B">
      <w:r>
        <w:t>Při identifikaci klienta je vyplněn dotazník, případně podepsaný klientem. Pokud klient odmítne podstoupit identifikaci, je okamžitě informována pověřená osoba, která situaci řeší. Během identifikace je pořízena kopie průkazu totožnosti klienta, která bude archivována podle archivačního řádu společnosti v souladu s AML zákonem.</w:t>
      </w:r>
    </w:p>
    <w:p w14:paraId="388C432C" w14:textId="6EB3696A" w:rsidR="0070717B" w:rsidRPr="0070717B" w:rsidRDefault="0070717B" w:rsidP="0070717B">
      <w:r>
        <w:t>Identifikaci klienta je třeba provést vždy, i když nejsou splněny zákonné podmínky AML.</w:t>
      </w:r>
    </w:p>
    <w:p w14:paraId="77F9C2D3" w14:textId="233592F6" w:rsidR="0070717B" w:rsidRDefault="0070717B" w:rsidP="0070717B">
      <w:pPr>
        <w:pStyle w:val="Nadpis1"/>
      </w:pPr>
      <w:r>
        <w:rPr>
          <w:rStyle w:val="Siln"/>
          <w:b/>
          <w:bCs w:val="0"/>
          <w:color w:val="000000"/>
        </w:rPr>
        <w:t>Zesílená identifikace</w:t>
      </w:r>
    </w:p>
    <w:p w14:paraId="70A2EA49" w14:textId="2B577347" w:rsidR="0070717B" w:rsidRPr="0070717B" w:rsidRDefault="0070717B" w:rsidP="0070717B">
      <w:r>
        <w:t>Zesílená identifikace je prováděna, pokud jsou naplněny znaky zvýšené rizikovosti klienta (kategorie C). O zesílené identifikaci bude informována pověřená osoba.</w:t>
      </w:r>
    </w:p>
    <w:p w14:paraId="3502EF80" w14:textId="21A8E42D" w:rsidR="0070717B" w:rsidRDefault="0070717B" w:rsidP="0070717B">
      <w:pPr>
        <w:pStyle w:val="Nadpis1"/>
      </w:pPr>
      <w:r>
        <w:rPr>
          <w:rStyle w:val="Siln"/>
          <w:b/>
          <w:bCs w:val="0"/>
          <w:color w:val="000000"/>
        </w:rPr>
        <w:t>Kontrola klienta</w:t>
      </w:r>
    </w:p>
    <w:p w14:paraId="518AEBD4" w14:textId="3E623950" w:rsidR="0070717B" w:rsidRPr="0070717B" w:rsidRDefault="0070717B" w:rsidP="0070717B">
      <w:r>
        <w:t>První kontrola klienta se provádí současně s první identifikací. Záznam o kontrole bude zaznamenán ve formuláři o provedené kontrole.</w:t>
      </w:r>
    </w:p>
    <w:p w14:paraId="5986087E" w14:textId="186DF8D7" w:rsidR="0070717B" w:rsidRDefault="0070717B" w:rsidP="0070717B">
      <w:pPr>
        <w:pStyle w:val="Nadpis1"/>
      </w:pPr>
      <w:r>
        <w:rPr>
          <w:rStyle w:val="Siln"/>
          <w:b/>
          <w:bCs w:val="0"/>
          <w:color w:val="000000"/>
        </w:rPr>
        <w:t>Periodická kontrola klienta</w:t>
      </w:r>
    </w:p>
    <w:p w14:paraId="64E7494C" w14:textId="779EA46A" w:rsidR="0070717B" w:rsidRPr="0070717B" w:rsidRDefault="0070717B" w:rsidP="0070717B">
      <w:r>
        <w:t>Kontroly klienta se provádí pravidelně, přičemž nejméně jednou za 12 měsíců. Kontroly se provádí na základě rizikovosti klienta.</w:t>
      </w:r>
    </w:p>
    <w:p w14:paraId="17F3C5AC" w14:textId="0FCC95AF" w:rsidR="0070717B" w:rsidRDefault="0070717B" w:rsidP="0070717B">
      <w:pPr>
        <w:pStyle w:val="Nadpis1"/>
      </w:pPr>
      <w:r>
        <w:rPr>
          <w:rStyle w:val="Siln"/>
          <w:b/>
          <w:bCs w:val="0"/>
          <w:color w:val="000000"/>
        </w:rPr>
        <w:t>Zesílená kontrola</w:t>
      </w:r>
    </w:p>
    <w:p w14:paraId="7367E976" w14:textId="14E5C444" w:rsidR="0070717B" w:rsidRDefault="0070717B" w:rsidP="0070717B">
      <w:r>
        <w:t>Zesílená kontrola se provádí vždy, pokud jsou naplněny znaky zvýšené rizikovosti klienta (kategorie C). Informována bude pověřená osoba.</w:t>
      </w:r>
    </w:p>
    <w:p w14:paraId="74745890" w14:textId="66956019" w:rsidR="0070717B" w:rsidRDefault="0070717B" w:rsidP="0070717B">
      <w:pPr>
        <w:pStyle w:val="Nadpis1"/>
      </w:pPr>
      <w:r>
        <w:rPr>
          <w:rStyle w:val="Siln"/>
          <w:b/>
          <w:bCs w:val="0"/>
          <w:color w:val="000000"/>
        </w:rPr>
        <w:t>Podezřelý obchod</w:t>
      </w:r>
    </w:p>
    <w:p w14:paraId="132D8A65" w14:textId="221A6310" w:rsidR="0070717B" w:rsidRDefault="0070717B" w:rsidP="0070717B">
      <w:r>
        <w:t>Pokud je zjištěn podezřelý obchod, pověřená osoba a kontaktní osoba budou okamžitě informováni, aby situaci řešili. Požádají si o další informace a vyhodnotí, zda se jedná o podezřelý obchod. Pokud ano, bude tato skutečnost oznámena FAÚ prostřednictvím oficiálního oznámení na jejich webových stránkách.</w:t>
      </w:r>
    </w:p>
    <w:p w14:paraId="552305E1" w14:textId="54849736" w:rsidR="0070717B" w:rsidRDefault="0070717B" w:rsidP="0070717B">
      <w:pPr>
        <w:pStyle w:val="Nadpis1"/>
      </w:pPr>
      <w:r>
        <w:rPr>
          <w:rStyle w:val="Siln"/>
          <w:b/>
          <w:bCs w:val="0"/>
          <w:color w:val="000000"/>
        </w:rPr>
        <w:t>Nesrovnalosti v Evidenci skutečných majitelů (ESM)</w:t>
      </w:r>
    </w:p>
    <w:p w14:paraId="52EBD7A0" w14:textId="4C1B986D" w:rsidR="0070717B" w:rsidRDefault="0070717B" w:rsidP="0070717B">
      <w:r>
        <w:t>Pokud jsou u klienta zjištěny nesrovnalosti v ESM, bude klient vyzván k nápravě, a to písemně prostřednictvím datové schránky. Lhůta k nápravě bude stanovena na 30 dní, s možností prodloužení na základě rozhodnutí pověřené osoby.</w:t>
      </w:r>
    </w:p>
    <w:p w14:paraId="3CBC018C" w14:textId="493717AC" w:rsidR="0070717B" w:rsidRDefault="0070717B" w:rsidP="0070717B">
      <w:pPr>
        <w:pStyle w:val="Nadpis1"/>
      </w:pPr>
      <w:r>
        <w:rPr>
          <w:rStyle w:val="Siln"/>
          <w:b/>
          <w:bCs w:val="0"/>
          <w:color w:val="000000"/>
        </w:rPr>
        <w:lastRenderedPageBreak/>
        <w:t>Povinnost uchovávat informace</w:t>
      </w:r>
    </w:p>
    <w:p w14:paraId="364F1CB1" w14:textId="51E4AD3F" w:rsidR="0070717B" w:rsidRDefault="0070717B" w:rsidP="0070717B">
      <w:r>
        <w:t>Povinná osoba uchovává informace a dokumenty týkající se obchodů, které podléhají identifikaci, po dobu 10 let od uskutečnění obchodu nebo ukončení obchodního vztahu s klientem. Tyto údaje musí zajistit průkaznost jednotlivých obchodů a souvisejících postupů.</w:t>
      </w:r>
    </w:p>
    <w:p w14:paraId="140C90B7" w14:textId="02970534" w:rsidR="0070717B" w:rsidRDefault="0070717B" w:rsidP="0070717B">
      <w:pPr>
        <w:pStyle w:val="Nadpis1"/>
      </w:pPr>
      <w:r>
        <w:rPr>
          <w:rStyle w:val="Siln"/>
          <w:b/>
          <w:bCs w:val="0"/>
          <w:color w:val="000000"/>
        </w:rPr>
        <w:t>Povinnost mlčenlivosti</w:t>
      </w:r>
    </w:p>
    <w:p w14:paraId="41186ADD" w14:textId="77777777" w:rsidR="0070717B" w:rsidRDefault="0070717B" w:rsidP="0070717B">
      <w:r>
        <w:t>Všechny osoby, které mají přístup k informacím souvisejícím s klienty, jsou povinny zachovávat mlčenlivost. Výjimky z mlčenlivosti stanoví AML zákon.</w:t>
      </w:r>
    </w:p>
    <w:p w14:paraId="2A0F5562" w14:textId="5335DC58" w:rsidR="005F5522" w:rsidRPr="00195449" w:rsidRDefault="005545F1" w:rsidP="00005AAE">
      <w:pPr>
        <w:spacing w:line="360" w:lineRule="auto"/>
        <w:rPr>
          <w:rFonts w:cs="Arial"/>
        </w:rPr>
      </w:pPr>
      <w:r w:rsidRPr="00195449">
        <w:rPr>
          <w:rFonts w:cs="Arial"/>
        </w:rPr>
        <w:t xml:space="preserve"> </w:t>
      </w:r>
    </w:p>
    <w:sectPr w:rsidR="005F5522" w:rsidRPr="00195449" w:rsidSect="00195449">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57BDD" w14:textId="77777777" w:rsidR="000E616F" w:rsidRDefault="000E616F" w:rsidP="00E40E2E">
      <w:pPr>
        <w:spacing w:after="0" w:line="240" w:lineRule="auto"/>
      </w:pPr>
      <w:r>
        <w:separator/>
      </w:r>
    </w:p>
  </w:endnote>
  <w:endnote w:type="continuationSeparator" w:id="0">
    <w:p w14:paraId="1530F59B" w14:textId="77777777" w:rsidR="000E616F" w:rsidRDefault="000E616F" w:rsidP="00E4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8538441"/>
      <w:docPartObj>
        <w:docPartGallery w:val="Page Numbers (Bottom of Page)"/>
        <w:docPartUnique/>
      </w:docPartObj>
    </w:sdtPr>
    <w:sdtEndPr/>
    <w:sdtContent>
      <w:p w14:paraId="293A7DF7" w14:textId="01F16BEE" w:rsidR="00E40E2E" w:rsidRDefault="00E40E2E">
        <w:pPr>
          <w:pStyle w:val="Zpat"/>
          <w:jc w:val="right"/>
        </w:pPr>
        <w:r>
          <w:fldChar w:fldCharType="begin"/>
        </w:r>
        <w:r>
          <w:instrText>PAGE   \* MERGEFORMAT</w:instrText>
        </w:r>
        <w:r>
          <w:fldChar w:fldCharType="separate"/>
        </w:r>
        <w:r>
          <w:t>2</w:t>
        </w:r>
        <w:r>
          <w:fldChar w:fldCharType="end"/>
        </w:r>
      </w:p>
    </w:sdtContent>
  </w:sdt>
  <w:p w14:paraId="0AB72444" w14:textId="77777777" w:rsidR="00E40E2E" w:rsidRDefault="00E40E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3C75E" w14:textId="77777777" w:rsidR="000E616F" w:rsidRDefault="000E616F" w:rsidP="00E40E2E">
      <w:pPr>
        <w:spacing w:after="0" w:line="240" w:lineRule="auto"/>
      </w:pPr>
      <w:r>
        <w:separator/>
      </w:r>
    </w:p>
  </w:footnote>
  <w:footnote w:type="continuationSeparator" w:id="0">
    <w:p w14:paraId="159C7FC3" w14:textId="77777777" w:rsidR="000E616F" w:rsidRDefault="000E616F" w:rsidP="00E40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4FDF"/>
    <w:multiLevelType w:val="hybridMultilevel"/>
    <w:tmpl w:val="E6CA955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ED7B4D"/>
    <w:multiLevelType w:val="hybridMultilevel"/>
    <w:tmpl w:val="0E3C8AE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01FD7"/>
    <w:multiLevelType w:val="hybridMultilevel"/>
    <w:tmpl w:val="7F6CBC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2B20DD"/>
    <w:multiLevelType w:val="multilevel"/>
    <w:tmpl w:val="F0A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2742A"/>
    <w:multiLevelType w:val="hybridMultilevel"/>
    <w:tmpl w:val="74566F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4CB530C"/>
    <w:multiLevelType w:val="hybridMultilevel"/>
    <w:tmpl w:val="F4BEE5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660974"/>
    <w:multiLevelType w:val="hybridMultilevel"/>
    <w:tmpl w:val="5594A6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54E2F"/>
    <w:multiLevelType w:val="hybridMultilevel"/>
    <w:tmpl w:val="A1A0EB1C"/>
    <w:lvl w:ilvl="0" w:tplc="194025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380879"/>
    <w:multiLevelType w:val="multilevel"/>
    <w:tmpl w:val="767C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EA16C0"/>
    <w:multiLevelType w:val="hybridMultilevel"/>
    <w:tmpl w:val="6C1850F2"/>
    <w:lvl w:ilvl="0" w:tplc="DA3602A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3947274D"/>
    <w:multiLevelType w:val="multilevel"/>
    <w:tmpl w:val="BAAE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04B1C"/>
    <w:multiLevelType w:val="hybridMultilevel"/>
    <w:tmpl w:val="AABC81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1A7DE5"/>
    <w:multiLevelType w:val="multilevel"/>
    <w:tmpl w:val="F81C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B254D"/>
    <w:multiLevelType w:val="hybridMultilevel"/>
    <w:tmpl w:val="790EAE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BF60CA"/>
    <w:multiLevelType w:val="multilevel"/>
    <w:tmpl w:val="C82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53769"/>
    <w:multiLevelType w:val="multilevel"/>
    <w:tmpl w:val="E3B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1370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7" w15:restartNumberingAfterBreak="0">
    <w:nsid w:val="648756B1"/>
    <w:multiLevelType w:val="hybridMultilevel"/>
    <w:tmpl w:val="7ED431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6115C0A"/>
    <w:multiLevelType w:val="hybridMultilevel"/>
    <w:tmpl w:val="414C6F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376E16"/>
    <w:multiLevelType w:val="multilevel"/>
    <w:tmpl w:val="3B9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DC2A66"/>
    <w:multiLevelType w:val="hybridMultilevel"/>
    <w:tmpl w:val="98AEF5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DD2376"/>
    <w:multiLevelType w:val="multilevel"/>
    <w:tmpl w:val="4494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0234414">
    <w:abstractNumId w:val="7"/>
  </w:num>
  <w:num w:numId="2" w16cid:durableId="756906204">
    <w:abstractNumId w:val="9"/>
  </w:num>
  <w:num w:numId="3" w16cid:durableId="1458523650">
    <w:abstractNumId w:val="17"/>
  </w:num>
  <w:num w:numId="4" w16cid:durableId="528764111">
    <w:abstractNumId w:val="16"/>
  </w:num>
  <w:num w:numId="5" w16cid:durableId="154416668">
    <w:abstractNumId w:val="1"/>
  </w:num>
  <w:num w:numId="6" w16cid:durableId="1902864124">
    <w:abstractNumId w:val="18"/>
  </w:num>
  <w:num w:numId="7" w16cid:durableId="1885866813">
    <w:abstractNumId w:val="13"/>
  </w:num>
  <w:num w:numId="8" w16cid:durableId="1851679532">
    <w:abstractNumId w:val="11"/>
  </w:num>
  <w:num w:numId="9" w16cid:durableId="1266228965">
    <w:abstractNumId w:val="20"/>
  </w:num>
  <w:num w:numId="10" w16cid:durableId="1387685818">
    <w:abstractNumId w:val="6"/>
  </w:num>
  <w:num w:numId="11" w16cid:durableId="129514796">
    <w:abstractNumId w:val="4"/>
  </w:num>
  <w:num w:numId="12" w16cid:durableId="784883043">
    <w:abstractNumId w:val="5"/>
  </w:num>
  <w:num w:numId="13" w16cid:durableId="74937902">
    <w:abstractNumId w:val="0"/>
  </w:num>
  <w:num w:numId="14" w16cid:durableId="1628465043">
    <w:abstractNumId w:val="2"/>
  </w:num>
  <w:num w:numId="15" w16cid:durableId="955596388">
    <w:abstractNumId w:val="10"/>
  </w:num>
  <w:num w:numId="16" w16cid:durableId="1208569696">
    <w:abstractNumId w:val="15"/>
  </w:num>
  <w:num w:numId="17" w16cid:durableId="656806779">
    <w:abstractNumId w:val="14"/>
  </w:num>
  <w:num w:numId="18" w16cid:durableId="884870260">
    <w:abstractNumId w:val="3"/>
  </w:num>
  <w:num w:numId="19" w16cid:durableId="920868754">
    <w:abstractNumId w:val="19"/>
  </w:num>
  <w:num w:numId="20" w16cid:durableId="517089268">
    <w:abstractNumId w:val="12"/>
  </w:num>
  <w:num w:numId="21" w16cid:durableId="990016640">
    <w:abstractNumId w:val="21"/>
  </w:num>
  <w:num w:numId="22" w16cid:durableId="78068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E6"/>
    <w:rsid w:val="00005AAE"/>
    <w:rsid w:val="00013991"/>
    <w:rsid w:val="000E616F"/>
    <w:rsid w:val="001338B6"/>
    <w:rsid w:val="001822A3"/>
    <w:rsid w:val="00195449"/>
    <w:rsid w:val="001C2FC0"/>
    <w:rsid w:val="0020206D"/>
    <w:rsid w:val="00211BCE"/>
    <w:rsid w:val="00315CFD"/>
    <w:rsid w:val="003B6292"/>
    <w:rsid w:val="005545F1"/>
    <w:rsid w:val="005756A7"/>
    <w:rsid w:val="005F5522"/>
    <w:rsid w:val="00661CB4"/>
    <w:rsid w:val="006E08E6"/>
    <w:rsid w:val="0070717B"/>
    <w:rsid w:val="00741A80"/>
    <w:rsid w:val="00776F17"/>
    <w:rsid w:val="00787A34"/>
    <w:rsid w:val="007E3624"/>
    <w:rsid w:val="0081442D"/>
    <w:rsid w:val="008B027A"/>
    <w:rsid w:val="008F0C55"/>
    <w:rsid w:val="00972641"/>
    <w:rsid w:val="009D09E2"/>
    <w:rsid w:val="009E4FA3"/>
    <w:rsid w:val="00AB42BC"/>
    <w:rsid w:val="00AE53E3"/>
    <w:rsid w:val="00BA23EC"/>
    <w:rsid w:val="00CD78B1"/>
    <w:rsid w:val="00E40E2E"/>
    <w:rsid w:val="00F278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E3EC"/>
  <w15:chartTrackingRefBased/>
  <w15:docId w15:val="{5A3FAA3F-189F-4D6B-851C-B5BA218B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717B"/>
    <w:rPr>
      <w:rFonts w:ascii="Century Gothic" w:hAnsi="Century Gothic"/>
    </w:rPr>
  </w:style>
  <w:style w:type="paragraph" w:styleId="Nadpis1">
    <w:name w:val="heading 1"/>
    <w:basedOn w:val="Normln"/>
    <w:next w:val="Normln"/>
    <w:link w:val="Nadpis1Char"/>
    <w:uiPriority w:val="9"/>
    <w:qFormat/>
    <w:rsid w:val="00195449"/>
    <w:pPr>
      <w:keepNext/>
      <w:keepLines/>
      <w:numPr>
        <w:numId w:val="4"/>
      </w:numPr>
      <w:spacing w:after="240" w:line="240" w:lineRule="auto"/>
      <w:ind w:left="431" w:hanging="431"/>
      <w:outlineLvl w:val="0"/>
    </w:pPr>
    <w:rPr>
      <w:rFonts w:eastAsiaTheme="majorEastAsia" w:cstheme="majorBidi"/>
      <w:b/>
      <w:color w:val="000000" w:themeColor="text1"/>
      <w:sz w:val="36"/>
      <w:szCs w:val="32"/>
    </w:rPr>
  </w:style>
  <w:style w:type="paragraph" w:styleId="Nadpis2">
    <w:name w:val="heading 2"/>
    <w:basedOn w:val="Normln"/>
    <w:next w:val="Normln"/>
    <w:link w:val="Nadpis2Char"/>
    <w:uiPriority w:val="9"/>
    <w:unhideWhenUsed/>
    <w:qFormat/>
    <w:rsid w:val="00195449"/>
    <w:pPr>
      <w:keepNext/>
      <w:keepLines/>
      <w:numPr>
        <w:ilvl w:val="1"/>
        <w:numId w:val="4"/>
      </w:numPr>
      <w:spacing w:after="240" w:line="240" w:lineRule="auto"/>
      <w:ind w:left="578" w:hanging="578"/>
      <w:outlineLvl w:val="1"/>
    </w:pPr>
    <w:rPr>
      <w:rFonts w:eastAsiaTheme="majorEastAsia" w:cstheme="majorBidi"/>
      <w:b/>
      <w:color w:val="000000" w:themeColor="text1"/>
      <w:sz w:val="24"/>
      <w:szCs w:val="26"/>
    </w:rPr>
  </w:style>
  <w:style w:type="paragraph" w:styleId="Nadpis3">
    <w:name w:val="heading 3"/>
    <w:basedOn w:val="Normln"/>
    <w:next w:val="Normln"/>
    <w:link w:val="Nadpis3Char"/>
    <w:uiPriority w:val="9"/>
    <w:semiHidden/>
    <w:unhideWhenUsed/>
    <w:qFormat/>
    <w:rsid w:val="00195449"/>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195449"/>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195449"/>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195449"/>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195449"/>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195449"/>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195449"/>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38B6"/>
    <w:pPr>
      <w:ind w:left="720"/>
      <w:contextualSpacing/>
    </w:pPr>
  </w:style>
  <w:style w:type="paragraph" w:styleId="Zhlav">
    <w:name w:val="header"/>
    <w:basedOn w:val="Normln"/>
    <w:link w:val="ZhlavChar"/>
    <w:uiPriority w:val="99"/>
    <w:unhideWhenUsed/>
    <w:rsid w:val="00E40E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0E2E"/>
  </w:style>
  <w:style w:type="paragraph" w:styleId="Zpat">
    <w:name w:val="footer"/>
    <w:basedOn w:val="Normln"/>
    <w:link w:val="ZpatChar"/>
    <w:uiPriority w:val="99"/>
    <w:unhideWhenUsed/>
    <w:rsid w:val="00E40E2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0E2E"/>
  </w:style>
  <w:style w:type="character" w:customStyle="1" w:styleId="Nadpis1Char">
    <w:name w:val="Nadpis 1 Char"/>
    <w:basedOn w:val="Standardnpsmoodstavce"/>
    <w:link w:val="Nadpis1"/>
    <w:uiPriority w:val="9"/>
    <w:rsid w:val="00195449"/>
    <w:rPr>
      <w:rFonts w:ascii="Century Gothic" w:eastAsiaTheme="majorEastAsia" w:hAnsi="Century Gothic" w:cstheme="majorBidi"/>
      <w:b/>
      <w:color w:val="000000" w:themeColor="text1"/>
      <w:sz w:val="36"/>
      <w:szCs w:val="32"/>
    </w:rPr>
  </w:style>
  <w:style w:type="character" w:customStyle="1" w:styleId="Nadpis2Char">
    <w:name w:val="Nadpis 2 Char"/>
    <w:basedOn w:val="Standardnpsmoodstavce"/>
    <w:link w:val="Nadpis2"/>
    <w:uiPriority w:val="9"/>
    <w:rsid w:val="00195449"/>
    <w:rPr>
      <w:rFonts w:ascii="Century Gothic" w:eastAsiaTheme="majorEastAsia" w:hAnsi="Century Gothic" w:cstheme="majorBidi"/>
      <w:b/>
      <w:color w:val="000000" w:themeColor="text1"/>
      <w:sz w:val="24"/>
      <w:szCs w:val="26"/>
    </w:rPr>
  </w:style>
  <w:style w:type="character" w:customStyle="1" w:styleId="Nadpis3Char">
    <w:name w:val="Nadpis 3 Char"/>
    <w:basedOn w:val="Standardnpsmoodstavce"/>
    <w:link w:val="Nadpis3"/>
    <w:uiPriority w:val="9"/>
    <w:semiHidden/>
    <w:rsid w:val="00195449"/>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195449"/>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195449"/>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195449"/>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195449"/>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19544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195449"/>
    <w:rPr>
      <w:rFonts w:asciiTheme="majorHAnsi" w:eastAsiaTheme="majorEastAsia" w:hAnsiTheme="majorHAnsi" w:cstheme="majorBidi"/>
      <w:i/>
      <w:iCs/>
      <w:color w:val="272727" w:themeColor="text1" w:themeTint="D8"/>
      <w:sz w:val="21"/>
      <w:szCs w:val="21"/>
    </w:rPr>
  </w:style>
  <w:style w:type="paragraph" w:styleId="Normlnweb">
    <w:name w:val="Normal (Web)"/>
    <w:basedOn w:val="Normln"/>
    <w:uiPriority w:val="99"/>
    <w:unhideWhenUsed/>
    <w:rsid w:val="0070717B"/>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0717B"/>
    <w:rPr>
      <w:b/>
      <w:bCs/>
    </w:rPr>
  </w:style>
  <w:style w:type="character" w:customStyle="1" w:styleId="apple-converted-space">
    <w:name w:val="apple-converted-space"/>
    <w:basedOn w:val="Standardnpsmoodstavce"/>
    <w:rsid w:val="00707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307505">
      <w:bodyDiv w:val="1"/>
      <w:marLeft w:val="0"/>
      <w:marRight w:val="0"/>
      <w:marTop w:val="0"/>
      <w:marBottom w:val="0"/>
      <w:divBdr>
        <w:top w:val="none" w:sz="0" w:space="0" w:color="auto"/>
        <w:left w:val="none" w:sz="0" w:space="0" w:color="auto"/>
        <w:bottom w:val="none" w:sz="0" w:space="0" w:color="auto"/>
        <w:right w:val="none" w:sz="0" w:space="0" w:color="auto"/>
      </w:divBdr>
    </w:div>
    <w:div w:id="5149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766</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Doleželová</dc:creator>
  <cp:keywords/>
  <dc:description/>
  <cp:lastModifiedBy>Lenka Vochozková</cp:lastModifiedBy>
  <cp:revision>2</cp:revision>
  <dcterms:created xsi:type="dcterms:W3CDTF">2025-02-13T22:15:00Z</dcterms:created>
  <dcterms:modified xsi:type="dcterms:W3CDTF">2025-02-13T22:15:00Z</dcterms:modified>
</cp:coreProperties>
</file>